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DCF0F">
      <w:pPr>
        <w:jc w:val="both"/>
        <w:rPr>
          <w:rFonts w:ascii="Times New Roman" w:hAnsi="Times New Roman" w:eastAsia="Times New Roman" w:cs="Times New Roman"/>
          <w:b/>
          <w:color w:val="000000"/>
          <w:sz w:val="23"/>
          <w:szCs w:val="23"/>
          <w:lang w:val="sl-SI" w:eastAsia="sl-SI"/>
        </w:rPr>
      </w:pPr>
    </w:p>
    <w:p w14:paraId="16807002">
      <w:pPr>
        <w:ind w:left="2694" w:hanging="2694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Številka: </w:t>
      </w:r>
    </w:p>
    <w:p w14:paraId="5855B72B">
      <w:pPr>
        <w:ind w:left="2694" w:hanging="2694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Datum: 26.8.2025</w:t>
      </w:r>
    </w:p>
    <w:p w14:paraId="6B60E088">
      <w:pPr>
        <w:ind w:left="2694" w:hanging="2694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7C473480">
      <w:pPr>
        <w:ind w:left="3119" w:hanging="3119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1933D16A">
      <w:pPr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ZADEVA: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PREDLOG PRAVILNIKA O DOLOČITVI PODALJŠANEGA OBRATOVALNEGA ČASA GOSTINSKIH OBRATOV IN KMETIJ NA KATERIH SE OPRAVLJA GOSTINSKA DEJAVNOST NA OBMOČJU OBČINE RADENCI</w:t>
      </w:r>
    </w:p>
    <w:p w14:paraId="2A7CC649">
      <w:pPr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                                              </w:t>
      </w:r>
    </w:p>
    <w:p w14:paraId="6AE83463">
      <w:pPr>
        <w:autoSpaceDE w:val="0"/>
        <w:autoSpaceDN w:val="0"/>
        <w:adjustRightInd w:val="0"/>
        <w:spacing w:after="13"/>
        <w:ind w:left="3119" w:hanging="3119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65275BC1">
      <w:pPr>
        <w:autoSpaceDE w:val="0"/>
        <w:autoSpaceDN w:val="0"/>
        <w:adjustRightInd w:val="0"/>
        <w:spacing w:after="13"/>
        <w:ind w:left="3119" w:hanging="3119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PRAVNA PODLAGA: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Zakon o gostinstvu (ZGos) -Uradni list RS, št. 93/07 – uradno prečiščeno besedilo, 26/14 – ZKme-1B in 52/16,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Pravilnik o merilih za določitev obratovalnega časa gostinskih obratov in kmetij, na katerih se opravlja gostinska dejavnost -Uradni list RS, št. 78/99, 107/00, 30/06, 93/07 in 16/21, ter 33. in drugi členi Zakona o lokalni samoupravi (ZLS)</w:t>
      </w:r>
    </w:p>
    <w:p w14:paraId="54651BE3">
      <w:pPr>
        <w:pStyle w:val="8"/>
        <w:autoSpaceDE w:val="0"/>
        <w:autoSpaceDN w:val="0"/>
        <w:adjustRightInd w:val="0"/>
        <w:spacing w:after="13"/>
        <w:ind w:left="3192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-Uradni list RS, št. 94/07 – uradno prečiščeno besedilo, 76/08, 79/09, 51/10, 40/12 – ZUJF, 11/14 – popr., 14/15 – ZUUJFO, 11/18 – ZSPDSLS-1, 30/18, 61/20 – ZIUZEOP-A, 80/20 – ZIUOOPE, 62/24 – odl. US in 102/24 – ZLV-K</w:t>
      </w:r>
    </w:p>
    <w:p w14:paraId="5788BDC7">
      <w:pPr>
        <w:autoSpaceDE w:val="0"/>
        <w:autoSpaceDN w:val="0"/>
        <w:adjustRightInd w:val="0"/>
        <w:spacing w:after="13"/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11C855FD">
      <w:pPr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 xml:space="preserve">PREDLAGATELJ:              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Cs/>
          <w:sz w:val="20"/>
          <w:szCs w:val="20"/>
          <w:lang w:val="sl-SI" w:eastAsia="sl-SI"/>
        </w:rPr>
        <w:t>Župan Občine Radenci, Roman Leljak</w:t>
      </w:r>
    </w:p>
    <w:p w14:paraId="4D977E76">
      <w:pPr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47DB4D82">
      <w:pPr>
        <w:ind w:left="3119" w:hanging="3119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GRADIVO PRIPRAVIL: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Občinska uprava Občine Radenci</w:t>
      </w:r>
    </w:p>
    <w:p w14:paraId="4339497F">
      <w:pPr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07C55BBE">
      <w:pPr>
        <w:ind w:left="3119" w:hanging="3119"/>
        <w:jc w:val="both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POROČEVALEC:</w:t>
      </w: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>Občinska uprava Občine Radenci</w:t>
      </w:r>
    </w:p>
    <w:p w14:paraId="0958C374">
      <w:pPr>
        <w:spacing w:before="540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PREDLOG  SKLEPA</w:t>
      </w:r>
      <w:bookmarkStart w:id="0" w:name="_Hlk72923780"/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: Občinski svet Občine Radenci sprejme Pravilnik o določitvi podaljšanega obratovalnega časa gostinskih obratov in kmetij na katerih se opravlja gostinska dejavnost na območju občine Radenci</w:t>
      </w:r>
      <w:bookmarkEnd w:id="0"/>
      <w:bookmarkStart w:id="1" w:name="_Hlk207189403"/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.</w:t>
      </w:r>
    </w:p>
    <w:p w14:paraId="2197FF56">
      <w:pP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br w:type="page"/>
      </w:r>
    </w:p>
    <w:p w14:paraId="32FF0AC0">
      <w:pPr>
        <w:spacing w:before="540"/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  <w:t>I OBRAZLOŽITEV</w:t>
      </w:r>
    </w:p>
    <w:p w14:paraId="5A973D37">
      <w:pPr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</w:p>
    <w:p w14:paraId="781F9307">
      <w:pPr>
        <w:jc w:val="both"/>
        <w:rPr>
          <w:rFonts w:ascii="Verdana" w:hAnsi="Verdana" w:eastAsia="Times New Roman" w:cs="Times New Roman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Cs/>
          <w:sz w:val="20"/>
          <w:szCs w:val="20"/>
          <w:lang w:val="sl-SI" w:eastAsia="sl-SI"/>
        </w:rPr>
        <w:t>V Občini Radenci je veljaven Pravilnik o merilih za določitev obratovalnega časa gostinskih obratov in kmetij, na katerih se opravlja gostinska dejavnost -Uradni list RS, št. 78/99, 107/00, 30/06, 93/07 in 16/21, ter 33. in drugi členi Zakona o lokalni samoupravi (ZLS) S predmetnim pravilnikom se dopolnjuje ureditev tudi na področju podaljšanega obratovalnega časa pri čemer je nujno urediti zlasti postopke izdaje soglasja , možnost pritožbe gostinca ter tudi možnost preklica že izdanega soglasja kar po dosedanji ureditvi ni bilo mogoče.</w:t>
      </w:r>
    </w:p>
    <w:p w14:paraId="26D11F86">
      <w:pPr>
        <w:pStyle w:val="11"/>
        <w:rPr>
          <w:rFonts w:ascii="Verdana" w:hAnsi="Verdana"/>
          <w:sz w:val="20"/>
          <w:szCs w:val="20"/>
        </w:rPr>
      </w:pPr>
    </w:p>
    <w:p w14:paraId="67F7E7BE">
      <w:pPr>
        <w:pStyle w:val="1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II. FINANČNE POSLEDICE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</w:p>
    <w:p w14:paraId="4490586D">
      <w:pPr>
        <w:pStyle w:val="11"/>
        <w:rPr>
          <w:rFonts w:ascii="Verdana" w:hAnsi="Verdana"/>
          <w:bCs/>
          <w:sz w:val="20"/>
          <w:szCs w:val="20"/>
        </w:rPr>
      </w:pPr>
    </w:p>
    <w:p w14:paraId="0F443481">
      <w:pPr>
        <w:pStyle w:val="11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Predlagani sklep za Občino Radenci ne bo imel finančnih posledic.</w:t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</w:p>
    <w:p w14:paraId="5BFFBEB4">
      <w:pPr>
        <w:pStyle w:val="11"/>
        <w:rPr>
          <w:rFonts w:ascii="Verdana" w:hAnsi="Verdana"/>
          <w:sz w:val="20"/>
          <w:szCs w:val="20"/>
        </w:rPr>
      </w:pPr>
    </w:p>
    <w:p w14:paraId="1CF3A0E7">
      <w:pPr>
        <w:pStyle w:val="1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III. PREDLOG SKLEPA</w:t>
      </w:r>
    </w:p>
    <w:p w14:paraId="56D0F2F0">
      <w:pP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</w:p>
    <w:p w14:paraId="50634EE5">
      <w:pP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t>Občinski svet Občine Radenci sprejme Pravilnik o določitvi podaljšanega obratovalnega časa gostinskih obratov in kmetij na katerih se opravlja gostinska dejavnost na območju občine Radenci.</w:t>
      </w:r>
    </w:p>
    <w:p w14:paraId="1C93DC68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7EA90DAC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br w:type="page"/>
      </w:r>
    </w:p>
    <w:p w14:paraId="5BF1A08E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2E4B90CE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3F546901">
      <w:pPr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sz w:val="20"/>
          <w:szCs w:val="20"/>
          <w:lang w:val="sl-SI" w:eastAsia="sl-SI"/>
        </w:rPr>
        <w:t>Številka:…………</w:t>
      </w:r>
    </w:p>
    <w:p w14:paraId="25C807CC">
      <w:pPr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sz w:val="20"/>
          <w:szCs w:val="20"/>
          <w:lang w:val="sl-SI" w:eastAsia="sl-SI"/>
        </w:rPr>
        <w:t>Datum: ……………….</w:t>
      </w:r>
    </w:p>
    <w:p w14:paraId="3BDBAD1E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09AF0A04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327A1981">
      <w:pPr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sz w:val="20"/>
          <w:szCs w:val="20"/>
          <w:lang w:val="sl-SI" w:eastAsia="sl-SI"/>
        </w:rPr>
        <w:t>Na podlagi Zakona o gostinstvu (ZGos) -Uradni list RS, št. 93/07 – uradno prečiščeno besedilo, 26/14 – ZKme-1B in 52/16, Pravilnik o merilih za določitev obratovalnega časa gostinskih obratov in kmetij, na katerih se opravlja gostinska dejavnost -Uradni list RS, št. 78/99, 107/00, 30/06, 93/07 in 16/21, ter 33. in drugi členi Zakona o lokalni samoupravi (ZLS) -Uradni list RS, št. 94/07 – uradno prečiščeno besedilo, 76/08, 79/09, 51/10, 40/12 – ZUJF, 11/14 – popr., 14/15 – ZUUJFO, 11/18 – ZSPDSLS-1, 30/18, 61/20 – ZIUZEOP-A, 80/20 – ZIUOOPE, 62/24 – odl. US in 102/24 – ZLV-K, je Občinski svet Občine Radenci na__________izredni seji, dne 4. 9. 2025 sprejel</w:t>
      </w:r>
    </w:p>
    <w:p w14:paraId="2AA2FAB1">
      <w:pPr>
        <w:rPr>
          <w:rFonts w:ascii="Verdana" w:hAnsi="Verdana" w:eastAsia="Times New Roman" w:cs="Arial"/>
          <w:sz w:val="20"/>
          <w:szCs w:val="20"/>
          <w:lang w:val="sl-SI" w:eastAsia="sl-SI"/>
        </w:rPr>
      </w:pPr>
    </w:p>
    <w:p w14:paraId="29600DE7">
      <w:pPr>
        <w:ind w:left="2832" w:firstLine="708"/>
        <w:rPr>
          <w:rFonts w:ascii="Verdana" w:hAnsi="Verdana" w:eastAsia="Times New Roman" w:cs="Arial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sz w:val="20"/>
          <w:szCs w:val="20"/>
          <w:lang w:val="sl-SI" w:eastAsia="sl-SI"/>
        </w:rPr>
        <w:t xml:space="preserve">    PRAVILNIK </w:t>
      </w:r>
    </w:p>
    <w:p w14:paraId="5B5CC7C9">
      <w:pPr>
        <w:jc w:val="center"/>
        <w:rPr>
          <w:rFonts w:ascii="Verdana" w:hAnsi="Verdana" w:eastAsia="Times New Roman" w:cs="Arial"/>
          <w:b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sz w:val="20"/>
          <w:szCs w:val="20"/>
          <w:lang w:val="sl-SI" w:eastAsia="sl-SI"/>
        </w:rPr>
        <w:t>o določitvi podaljšanega obratovalnega časa gostinskih obratov in kmetij na katerih se opravlja gostinska dejavnost na območju občine Radenci</w:t>
      </w:r>
    </w:p>
    <w:p w14:paraId="130BCAAB">
      <w:pPr>
        <w:jc w:val="center"/>
        <w:rPr>
          <w:rFonts w:ascii="Verdana" w:hAnsi="Verdana" w:eastAsia="Times New Roman" w:cs="Arial"/>
          <w:sz w:val="20"/>
          <w:szCs w:val="20"/>
          <w:lang w:val="sl-SI" w:eastAsia="sl-SI"/>
        </w:rPr>
      </w:pPr>
    </w:p>
    <w:p w14:paraId="2F489F24">
      <w:pPr>
        <w:rPr>
          <w:rFonts w:ascii="Verdana" w:hAnsi="Verdana" w:eastAsia="Times New Roman" w:cs="Times New Roman"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"I.%C2%A0SPLO%C5%A0NE%C2%A0DOLO%C4%8CBE"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100DF33C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I. SPLOŠNE DOLOČBE </w:t>
      </w:r>
    </w:p>
    <w:p w14:paraId="0238FF65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"1.%C2%A0%C4%8Dlen"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5FAA7AD0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1. člen </w:t>
      </w:r>
    </w:p>
    <w:p w14:paraId="06449F3D">
      <w:pPr>
        <w:ind w:left="2832" w:firstLine="708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"(predmet%C2%A0urejanja)"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(predmet urejanja) </w:t>
      </w:r>
    </w:p>
    <w:p w14:paraId="119D8E33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</w:p>
    <w:p w14:paraId="6465065A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Ta pravilnik določa merila za določitev podaljšanega obratovalnega časa gostinskih obratov in kmetij, na katerih se opravlja gostinska dejavnost (v nadaljevanju: gostinski obrati) na območju Občine Radenci.</w:t>
      </w:r>
    </w:p>
    <w:p w14:paraId="12B1A402">
      <w:pPr>
        <w:rPr>
          <w:rFonts w:ascii="Verdana" w:hAnsi="Verdana" w:eastAsia="Times New Roman" w:cs="Times New Roman"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"2.%C2%A0%C4%8Dlen"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43ED9720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2. člen </w:t>
      </w:r>
    </w:p>
    <w:p w14:paraId="13951706">
      <w:pPr>
        <w:ind w:left="2124" w:firstLine="708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 xml:space="preserve">    </w: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"(podalj%C5%A1ani%C2%A0obratovalni%C2%A0%C4%8Das)"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(podaljšani obratovalni čas)</w:t>
      </w:r>
    </w:p>
    <w:p w14:paraId="4A5E00A3">
      <w:pPr>
        <w:ind w:left="2124" w:firstLine="708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 </w:t>
      </w:r>
    </w:p>
    <w:p w14:paraId="487430E7">
      <w:pP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hint="default" w:ascii="Verdana" w:hAnsi="Verdana" w:eastAsia="Times New Roman" w:cs="Times New Roman"/>
          <w:sz w:val="20"/>
          <w:szCs w:val="20"/>
          <w:lang w:val="en-US" w:eastAsia="sl-SI"/>
        </w:rPr>
        <w:t>(</w:t>
      </w: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 xml:space="preserve">1)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Gostinski obrat obratuje v podaljšanem obratovalnem času, če obratuje izven rednega obratovalnega časa, določenega v skladu s predpisi, ki urejajo merila za določitev obratovalnega časa gostinskih obratov.</w:t>
      </w:r>
    </w:p>
    <w:p w14:paraId="79E4C8F2">
      <w:pP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1C68F807">
      <w:pPr>
        <w:pStyle w:val="8"/>
        <w:numPr>
          <w:ilvl w:val="0"/>
          <w:numId w:val="1"/>
        </w:numPr>
        <w:shd w:val="clear" w:color="auto" w:fill="FFFFFF"/>
        <w:ind w:left="70"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Za obratovanje gostinskega obrata v podaljšanem obratovalnem času mora gostinec pridobiti pisno soglasje pristojnega organa, ki o tem odloča na podlagi vloge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 xml:space="preserve">OBRAZEC ZA PRIJAVO OBRATOVALNEGA ČASA IN PODALJŠANEGA OBRATOVALNEGA ČASA GOSTINSKEGA OBRATA ki jo gostinec predloži ob prijavi rednega obratovalnega časa in  dodatno pod tč .2 navedenega obrazca za obratovanje v </w:t>
      </w:r>
      <w:r>
        <w:rPr>
          <w:rFonts w:ascii="Verdana" w:hAnsi="Verdana" w:eastAsia="Times New Roman" w:cs="Arial"/>
          <w:b/>
          <w:bCs/>
          <w:color w:val="000000"/>
          <w:sz w:val="20"/>
          <w:szCs w:val="20"/>
          <w:lang w:val="sl-SI" w:eastAsia="sl-SI"/>
        </w:rPr>
        <w:t>podaljšanem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 xml:space="preserve"> obratovalnem času.</w:t>
      </w:r>
    </w:p>
    <w:p w14:paraId="2A1DA56A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 xml:space="preserve"> </w:t>
      </w:r>
    </w:p>
    <w:p w14:paraId="09319FCE">
      <w:pPr>
        <w:numPr>
          <w:ilvl w:val="0"/>
          <w:numId w:val="1"/>
        </w:numPr>
        <w:shd w:val="clear" w:color="auto" w:fill="FFFFFF"/>
        <w:ind w:left="70" w:leftChars="0" w:firstLine="0" w:firstLine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Če v okviru gostinskega obrata obratuje več enot, ki samostojno opravljajo gostinsko dejavnost, je dolžan gostinec prijaviti podaljšan obratovalni čas za vsako tako enoto posebej.</w:t>
      </w:r>
    </w:p>
    <w:p w14:paraId="79FD2105">
      <w:pPr>
        <w:numPr>
          <w:numId w:val="0"/>
        </w:num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44C9640E">
      <w:pPr>
        <w:rPr>
          <w:rFonts w:ascii="Verdana" w:hAnsi="Verdana" w:eastAsia="Times New Roman" w:cs="Times New Roman"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"II.%C2%A0MERILA%C2%A0IN%C2%A0POGOJI%C2%A0ZA%C2%A0IZDAJO%C2%A0SOGLASJA%C2%A0ZA%C2%A0OBRATOVANJE%C2%A0V%C2%A0PODALJ%C5%A0ANEM%C2%A0OBRATOVALNEM%C2%A0%C4%8CASU"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78D4867D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787E87A2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47C078AE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17326A31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05D7575D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40ECF439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21B2C786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465F129A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5E3D1797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7D104E6A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II. MERILA IN POGOJI ZA IZDAJO SOGLASJA ZA OBRATOVANJE V PODALJŠANEM OBRATOVALNEM ČASU </w:t>
      </w:r>
    </w:p>
    <w:p w14:paraId="759D36D5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"4.%C2%A0%C4%8Dlen"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2B4D932C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3. člen </w:t>
      </w:r>
    </w:p>
    <w:p w14:paraId="46AB65BD">
      <w:pPr>
        <w:jc w:val="center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"(merila%C2%A0za%C2%A0dolo%C4%8Ditev%C2%A0podalj%C5%A1anega%C2%A0obratovalnega%C2%A0%C4%8Dasa)"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(merila za določitev podaljšanega obratovalnega časa)</w:t>
      </w:r>
    </w:p>
    <w:p w14:paraId="386AD75B">
      <w:pPr>
        <w:jc w:val="center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</w:p>
    <w:p w14:paraId="46002FEF">
      <w:pPr>
        <w:pStyle w:val="8"/>
        <w:numPr>
          <w:numId w:val="0"/>
        </w:num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 xml:space="preserve">  Merila za določitev podaljšanega obratovalnega časa gostinskih obratov so:</w:t>
      </w:r>
    </w:p>
    <w:p w14:paraId="75A4BD41">
      <w:pPr>
        <w:pStyle w:val="8"/>
        <w:numPr>
          <w:numId w:val="0"/>
        </w:num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77360B56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 območje, kjer se gostinski obrat nahaja,</w:t>
      </w:r>
    </w:p>
    <w:p w14:paraId="6F5DDE8C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 vrsta gostinskega obrata,</w:t>
      </w:r>
    </w:p>
    <w:p w14:paraId="7F2F87E2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 vključenost gostinskega obrata v turistično, kulturno-zgodovinsko ponudbo občine,</w:t>
      </w:r>
    </w:p>
    <w:p w14:paraId="5D7CE003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 poslovni interesi gostincev in kmetov,</w:t>
      </w:r>
    </w:p>
    <w:p w14:paraId="1AAAB71F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 potrebe gostov,</w:t>
      </w:r>
    </w:p>
    <w:p w14:paraId="223FE68C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 mnenje krajevne skupnosti, na območju katere se gostinski obrat nahaja,</w:t>
      </w:r>
    </w:p>
    <w:p w14:paraId="27EE0CAE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 javni interes.</w:t>
      </w:r>
    </w:p>
    <w:p w14:paraId="235127D4">
      <w:pP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"5.%C2%A0%C4%8Dlen"</w:instrText>
      </w: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fldChar w:fldCharType="separate"/>
      </w:r>
    </w:p>
    <w:p w14:paraId="7B71A92F">
      <w:pPr>
        <w:jc w:val="center"/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4. člen </w:t>
      </w:r>
    </w:p>
    <w:p w14:paraId="053E0982">
      <w:pPr>
        <w:jc w:val="center"/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t xml:space="preserve">           (podaljšan obratovalni čas v stavbah s stanovanji in objektih na območju Občine Radenci)</w:t>
      </w:r>
    </w:p>
    <w:p w14:paraId="023ABA61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7574A8AC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 xml:space="preserve">(1)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Gostinskim obratom (gostilne, restavracije, okrepčevalnice, izletniške kmetije itd.) se lahko odobri naslednji podaljšan obratovalni čas:</w:t>
      </w:r>
    </w:p>
    <w:p w14:paraId="0A69CE64">
      <w:pPr>
        <w:pStyle w:val="8"/>
        <w:numPr>
          <w:numId w:val="0"/>
        </w:numPr>
        <w:shd w:val="clear" w:color="auto" w:fill="FFFFFF"/>
        <w:jc w:val="left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1AB5AEF5">
      <w:pPr>
        <w:pStyle w:val="8"/>
        <w:numPr>
          <w:numId w:val="0"/>
        </w:numPr>
        <w:shd w:val="clear" w:color="auto" w:fill="FFFFFF"/>
        <w:ind w:leftChars="0"/>
        <w:jc w:val="left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>1. g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ostinskim obratom:</w:t>
      </w:r>
    </w:p>
    <w:p w14:paraId="0C023A2F">
      <w:pPr>
        <w:shd w:val="clear" w:color="auto" w:fill="FFFFFF"/>
        <w:jc w:val="left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 xml:space="preserve">- v objektih s stanovanji in v objektih na območju naselja od nedelje do četrtka  do 23.00 ure, ob  petkih, sobotah in praznikih najdlje do 01.00 ure naslednjega dne.  </w:t>
      </w:r>
    </w:p>
    <w:p w14:paraId="4C7ED45F">
      <w:pPr>
        <w:shd w:val="clear" w:color="auto" w:fill="FFFFFF"/>
        <w:jc w:val="left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2. Letni vrtovi in terase smejo obratovati  v enakem obratovalnem času kot velja za gostinski obrat.</w:t>
      </w:r>
    </w:p>
    <w:p w14:paraId="06B39FB8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3257FE86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 xml:space="preserve">(2)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Gostinski obrati oziroma kmetije iz tega člena smejo pričeti z obratovalnim časom od 06.00 ure.</w:t>
      </w:r>
    </w:p>
    <w:p w14:paraId="0F20158F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3D009FC3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 xml:space="preserve">(3)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Podaljšani obratovalni čas iz prvega odstavka tega člena, ki velja za petek in soboto, velja tudi za dni, ko je naslednji dan dela prost dan.</w:t>
      </w:r>
    </w:p>
    <w:p w14:paraId="139D85E3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31C4FF5C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(</w:t>
      </w: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>4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) Gostinskim obratom v večnamenskih objektih in gostinskim obratom neposredno ob večnamenskih objektih lahko pristojni organ podaljša obratovalni čas skladno z določbami prvega in drugega odstavka tega člena.</w:t>
      </w:r>
    </w:p>
    <w:p w14:paraId="3F437E1E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6D854C07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(</w:t>
      </w: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>5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) Ne glede na določbe tega člena lahko pristojni upravni organ v utemeljenih primerih, na vlogo gostinca, določi tudi krajši ali daljši čas podaljšanega obratovanja.</w:t>
      </w:r>
    </w:p>
    <w:p w14:paraId="1B755B27">
      <w:pPr>
        <w:rPr>
          <w:rFonts w:ascii="Verdana" w:hAnsi="Verdana" w:eastAsia="Times New Roman" w:cs="Times New Roman"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"7.%C2%A0%C4%8Dlen"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003698ED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5. člen </w:t>
      </w:r>
    </w:p>
    <w:p w14:paraId="6633028B">
      <w:pP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t xml:space="preserve">    </w:t>
      </w: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t>(javne prireditve)</w:t>
      </w:r>
    </w:p>
    <w:p w14:paraId="0EA88122">
      <w:pP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</w:pPr>
    </w:p>
    <w:p w14:paraId="4DF58017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V času večjih javnih prireditev, ki se organizirajo v Občini Radenci lahko gostinski obrati, obratujejo do ure, ki je določena kot čas trajanja javne prireditve. Gostinski obrati, ki nameravajo obratovati v času prireditve, morajo o tem obvestiti pristojni organ.</w:t>
      </w:r>
    </w:p>
    <w:p w14:paraId="54E283A3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5E3FCAEB">
      <w:pPr>
        <w:rPr>
          <w:rFonts w:ascii="Verdana" w:hAnsi="Verdana" w:eastAsia="Times New Roman" w:cs="Times New Roman"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"III.%C2%A0POSTOPEK%C2%A0ZA%C2%A0IZDAJO%C2%A0SOGLASJA%C2%A0K%C2%A0PODALJ%C5%A0ANEMU%C2%A0OBRATOVALNEMU%C2%A0%C4%8CASU"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6D9893BC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0EE37F14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54FFB314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05BCCD8E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7C1C8C49">
      <w:pPr>
        <w:jc w:val="center"/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</w:pPr>
    </w:p>
    <w:p w14:paraId="50588E09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III. POSTOPEK ZA IZDAJO IN PREKLIC SOGLASJA K PODALJŠANEMU OBRATOVALNEMU ČASU </w:t>
      </w:r>
    </w:p>
    <w:p w14:paraId="704DC1FD">
      <w:pPr>
        <w:jc w:val="center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"8.%C2%A0%C4%8Dlen"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7217F520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6. člen</w:t>
      </w:r>
    </w:p>
    <w:p w14:paraId="259525D5">
      <w:pPr>
        <w:jc w:val="center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"(oddaja%C2%A0vloge%C2%A0za%C2%A0izdajo%C2%A0soglasja%C2%A0k%C2%A0podalj%C5%A1anemu%C2%A0obratovalnemu%C2%A0%C4%8Dasu)"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(oddaja vloge za izdajo soglasja k podaljšanemu obratovalnemu času)</w:t>
      </w:r>
    </w:p>
    <w:p w14:paraId="65D92043">
      <w:pPr>
        <w:jc w:val="center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</w:p>
    <w:p w14:paraId="55B799E8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Za izdajo soglasja k podaljšanemu obratovalnemu času gostinskega obrata gostinec zaprosi upravo Občine Radenci s predpisano vlogo iz 2. odstavka 2. člena, ki jo pristojnemu organu predloži najmanj petnajst dni pred:</w:t>
      </w:r>
    </w:p>
    <w:p w14:paraId="7F9844E0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 začetkom novega koledarskega leta za naslednje koledarsko leto,</w:t>
      </w:r>
    </w:p>
    <w:p w14:paraId="0F973F49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 začetkom obratovanja,</w:t>
      </w:r>
    </w:p>
    <w:p w14:paraId="38639B60">
      <w:pPr>
        <w:shd w:val="clear" w:color="auto" w:fill="FFFFFF"/>
        <w:ind w:firstLine="33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 spremembo obratovalnega časa.</w:t>
      </w:r>
    </w:p>
    <w:p w14:paraId="59A8E24A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34F95558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604C9321">
      <w:pPr>
        <w:jc w:val="center"/>
        <w:rPr>
          <w:rFonts w:ascii="Verdana" w:hAnsi="Verdana" w:eastAsia="Times New Roman" w:cs="Times New Roman"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"9.%C2%A0%C4%8Dlen"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74B55059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7. člen</w:t>
      </w:r>
    </w:p>
    <w:p w14:paraId="072AF241">
      <w:pPr>
        <w:jc w:val="center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"(pogoji%C2%A0za%C2%A0izdajo%C2%A0soglasja%C2%A0k%C2%A0podalj%C5%A1anemu%C2%A0obratovalnemu%C2%A0%C4%8Dasu)"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t xml:space="preserve"> </w:t>
      </w: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(pogoji za izdajo in preklic soglasja k podaljšanemu obratovalnemu času)</w:t>
      </w:r>
    </w:p>
    <w:p w14:paraId="618104B9">
      <w:pPr>
        <w:jc w:val="center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</w:p>
    <w:p w14:paraId="48E108E7">
      <w:pPr>
        <w:pStyle w:val="8"/>
        <w:numPr>
          <w:numId w:val="0"/>
        </w:numPr>
        <w:ind w:leftChars="0"/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sz w:val="20"/>
          <w:szCs w:val="20"/>
          <w:lang w:val="sl-SI" w:eastAsia="sl-SI"/>
        </w:rPr>
        <w:t>Uprava Občina Radenci lahko veže izdajo soglasja za podaljšani obratovalni čas na v naprej določeno časovno obdobje ali na predhodno izpolnitev določenih pogojev in ga ob neizpolnitvi teh pogojev tudi prekliče.</w:t>
      </w:r>
    </w:p>
    <w:p w14:paraId="56DFBF32">
      <w:pPr>
        <w:rPr>
          <w:rFonts w:ascii="Verdana" w:hAnsi="Verdana" w:eastAsia="Times New Roman" w:cs="Arial"/>
          <w:sz w:val="20"/>
          <w:szCs w:val="20"/>
          <w:lang w:val="sl-SI" w:eastAsia="sl-SI"/>
        </w:rPr>
      </w:pPr>
    </w:p>
    <w:p w14:paraId="59FA0F09">
      <w:pPr>
        <w:ind w:left="3540" w:firstLine="708"/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t>8. člen</w:t>
      </w:r>
    </w:p>
    <w:p w14:paraId="691FBAF0">
      <w:pPr>
        <w:rPr>
          <w:rFonts w:ascii="Verdana" w:hAnsi="Verdana" w:eastAsia="Times New Roman" w:cs="Arial"/>
          <w:sz w:val="20"/>
          <w:szCs w:val="20"/>
          <w:lang w:val="sl-SI" w:eastAsia="sl-SI"/>
        </w:rPr>
      </w:pPr>
    </w:p>
    <w:p w14:paraId="78ABA276">
      <w:pPr>
        <w:pStyle w:val="8"/>
        <w:numPr>
          <w:numId w:val="0"/>
        </w:numPr>
        <w:ind w:leftChars="0"/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sz w:val="20"/>
          <w:szCs w:val="20"/>
          <w:lang w:val="en-US" w:eastAsia="sl-SI"/>
        </w:rPr>
        <w:t xml:space="preserve">(1) </w:t>
      </w:r>
      <w:r>
        <w:rPr>
          <w:rFonts w:ascii="Verdana" w:hAnsi="Verdana" w:eastAsia="Times New Roman" w:cs="Arial"/>
          <w:sz w:val="20"/>
          <w:szCs w:val="20"/>
          <w:lang w:val="sl-SI" w:eastAsia="sl-SI"/>
        </w:rPr>
        <w:t>Soglasje k podaljšanemu obratovalnemu času se lahko med letom prekliče  v primeru:</w:t>
      </w:r>
    </w:p>
    <w:p w14:paraId="6C2195D7">
      <w:pPr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sz w:val="20"/>
          <w:szCs w:val="20"/>
          <w:lang w:val="sl-SI" w:eastAsia="sl-SI"/>
        </w:rPr>
        <w:t xml:space="preserve">-             pisnih pritožb občanov zaradi kršitev javnega reda obratovanja gostinskega lokala, </w:t>
      </w:r>
    </w:p>
    <w:p w14:paraId="6B847284">
      <w:pPr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sz w:val="20"/>
          <w:szCs w:val="20"/>
          <w:lang w:val="sl-SI" w:eastAsia="sl-SI"/>
        </w:rPr>
        <w:t>-</w:t>
      </w:r>
      <w:r>
        <w:rPr>
          <w:rFonts w:ascii="Verdana" w:hAnsi="Verdana" w:eastAsia="Times New Roman" w:cs="Arial"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Arial"/>
          <w:sz w:val="20"/>
          <w:szCs w:val="20"/>
          <w:lang w:val="sl-SI" w:eastAsia="sl-SI"/>
        </w:rPr>
        <w:t>evidentiranih in potrjenih kršitev z izdajo plačilnega naloga s strani policije,</w:t>
      </w:r>
    </w:p>
    <w:p w14:paraId="42543EF4">
      <w:pPr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sz w:val="20"/>
          <w:szCs w:val="20"/>
          <w:lang w:val="sl-SI" w:eastAsia="sl-SI"/>
        </w:rPr>
        <w:t>-</w:t>
      </w:r>
      <w:r>
        <w:rPr>
          <w:rFonts w:ascii="Verdana" w:hAnsi="Verdana" w:eastAsia="Times New Roman" w:cs="Arial"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Arial"/>
          <w:sz w:val="20"/>
          <w:szCs w:val="20"/>
          <w:lang w:val="sl-SI" w:eastAsia="sl-SI"/>
        </w:rPr>
        <w:t>kršitev obratovalnega časa, javnega reda in miru ali drugih kršitev, ugotovljenih s strani policije, pristojnih  inšpekcijskih služb oziroma drugih pristojnih organov,</w:t>
      </w:r>
    </w:p>
    <w:p w14:paraId="34FFE371">
      <w:pPr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sz w:val="20"/>
          <w:szCs w:val="20"/>
          <w:lang w:val="sl-SI" w:eastAsia="sl-SI"/>
        </w:rPr>
        <w:t>-</w:t>
      </w:r>
      <w:r>
        <w:rPr>
          <w:rFonts w:ascii="Verdana" w:hAnsi="Verdana" w:eastAsia="Times New Roman" w:cs="Arial"/>
          <w:sz w:val="20"/>
          <w:szCs w:val="20"/>
          <w:lang w:val="sl-SI" w:eastAsia="sl-SI"/>
        </w:rPr>
        <w:tab/>
      </w:r>
      <w:r>
        <w:rPr>
          <w:rFonts w:ascii="Verdana" w:hAnsi="Verdana" w:eastAsia="Times New Roman" w:cs="Arial"/>
          <w:sz w:val="20"/>
          <w:szCs w:val="20"/>
          <w:lang w:val="sl-SI" w:eastAsia="sl-SI"/>
        </w:rPr>
        <w:t>neporavnanih obveznosti do občine,</w:t>
      </w:r>
    </w:p>
    <w:p w14:paraId="50369E11">
      <w:pPr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sz w:val="20"/>
          <w:szCs w:val="20"/>
          <w:lang w:val="sl-SI" w:eastAsia="sl-SI"/>
        </w:rPr>
        <w:t>-         drugih utemeljenih razlogov.</w:t>
      </w:r>
    </w:p>
    <w:p w14:paraId="31491316">
      <w:pPr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</w:p>
    <w:p w14:paraId="1B5D6147">
      <w:pPr>
        <w:jc w:val="both"/>
        <w:rPr>
          <w:rFonts w:ascii="Verdana" w:hAnsi="Verdana" w:eastAsia="Times New Roman" w:cs="Arial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sz w:val="20"/>
          <w:szCs w:val="20"/>
          <w:lang w:val="en-US" w:eastAsia="sl-SI"/>
        </w:rPr>
        <w:t>(2)</w:t>
      </w:r>
      <w:r>
        <w:rPr>
          <w:rFonts w:ascii="Verdana" w:hAnsi="Verdana" w:eastAsia="Times New Roman" w:cs="Arial"/>
          <w:sz w:val="20"/>
          <w:szCs w:val="20"/>
          <w:lang w:val="sl-SI" w:eastAsia="sl-SI"/>
        </w:rPr>
        <w:t xml:space="preserve"> Pritožba zoper  sklep upravnega organa o preklicu  soglasja ne zadrži njegove izvršitve.</w:t>
      </w:r>
    </w:p>
    <w:p w14:paraId="6C98289C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"10.%C2%A0%C4%8Dlen"</w:instrText>
      </w: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fldChar w:fldCharType="separate"/>
      </w:r>
    </w:p>
    <w:p w14:paraId="245AD2D9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9. člen</w:t>
      </w:r>
    </w:p>
    <w:p w14:paraId="796808C3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fldChar w:fldCharType="end"/>
      </w: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t xml:space="preserve"> </w:t>
      </w: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"(izdaja%C2%A0soglasja)"</w:instrText>
      </w: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fldChar w:fldCharType="separate"/>
      </w: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(izdaja soglasja)</w:t>
      </w:r>
    </w:p>
    <w:p w14:paraId="0D01D11A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  <w:fldChar w:fldCharType="end"/>
      </w:r>
    </w:p>
    <w:p w14:paraId="6BE12633">
      <w:pPr>
        <w:pStyle w:val="8"/>
        <w:numPr>
          <w:numId w:val="0"/>
        </w:numPr>
        <w:ind w:leftChars="0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 xml:space="preserve">(1)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Soglasje k podaljšanemu obratovalnemu času se v skladu z določili tega pravilnika izda do izteka tekočega koledarskega leta, če je vloga vložena kadarkoli med letom.</w:t>
      </w:r>
    </w:p>
    <w:p w14:paraId="1E818B45">
      <w:pP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51FCED20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 xml:space="preserve">(2)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V primeru, da zaproša gostinec za soglasje k podaljšanemu obratovalnemu času za naslednje koledarsko leto, mora vlogo pri pristojnem organu vložiti najkasneje do 15. decembra tekočega leta.</w:t>
      </w:r>
    </w:p>
    <w:p w14:paraId="75CACB2D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6F21C581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 xml:space="preserve">(3)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Glede na izpolnjevanje meril iz 3. člena tega pravilnika lahko organ vlogi gostinca za izdajo soglasja k podaljšanemu obratovalnemu času ugodi oziroma jo z odločbo delno ali v celoti zavrne, če ugotovi:</w:t>
      </w:r>
    </w:p>
    <w:p w14:paraId="7DA2E0BE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 da obratovalni čas v vlogi za izdajo soglasja za obratovanje v podaljšanem obratovalnem času ni prijavljen skladno z določbami tega pravilnika in veljavne zakonodaje,</w:t>
      </w:r>
    </w:p>
    <w:p w14:paraId="1B680615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 xml:space="preserve">– da so bile v zadnjih dvanajstih mesecih pred vložitvijo vloge pri poslovanju gostinskega obrata evidentirane kršitve s strani policije ali prekrškovnega organa, </w:t>
      </w:r>
    </w:p>
    <w:p w14:paraId="4D4E9C44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– da obstajajo drugi utemeljeni razlogi.</w:t>
      </w:r>
    </w:p>
    <w:p w14:paraId="2322FA91">
      <w:pPr>
        <w:pStyle w:val="8"/>
        <w:numPr>
          <w:numId w:val="0"/>
        </w:numPr>
        <w:shd w:val="clear" w:color="auto" w:fill="FFFFFF"/>
        <w:ind w:leftChars="0"/>
        <w:jc w:val="both"/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</w:pPr>
    </w:p>
    <w:p w14:paraId="0FF4A37C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 xml:space="preserve">(4)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Z dnem izteka veljavnosti soglasja iz prvega odstavka tega člena ali preklica iz 8. člena gostinski obrat izgubi pravico do poslovanja v podaljšanem obratovalnem času.</w:t>
      </w:r>
    </w:p>
    <w:p w14:paraId="4B6FEA0A">
      <w:pPr>
        <w:pStyle w:val="8"/>
        <w:numPr>
          <w:numId w:val="0"/>
        </w:numPr>
        <w:shd w:val="clear" w:color="auto" w:fill="FFFFFF"/>
        <w:ind w:leftChars="0"/>
        <w:jc w:val="both"/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</w:pPr>
    </w:p>
    <w:p w14:paraId="37308824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 xml:space="preserve">(5) 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Ne glede na določbo prvega odstavka tega člena lahko pristojni organ določi tudi krajši ali daljši čas trajanja soglasja k podaljšanemu obratovalnemu času.</w:t>
      </w:r>
    </w:p>
    <w:p w14:paraId="1900D30E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</w:p>
    <w:p w14:paraId="7AE86352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hint="default" w:ascii="Verdana" w:hAnsi="Verdana" w:eastAsia="Times New Roman" w:cs="Arial"/>
          <w:color w:val="000000"/>
          <w:sz w:val="20"/>
          <w:szCs w:val="20"/>
          <w:lang w:val="en-US" w:eastAsia="sl-SI"/>
        </w:rPr>
        <w:t>(6)</w:t>
      </w: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 xml:space="preserve"> V kolikor gostinec soglasja ne pridobi, lahko gostinski obrat obratuje v okviru rednega obratovalnega časa.</w:t>
      </w:r>
      <w:bookmarkStart w:id="3" w:name="_GoBack"/>
      <w:bookmarkEnd w:id="3"/>
    </w:p>
    <w:p w14:paraId="48C79894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</w:p>
    <w:p w14:paraId="67785EA6">
      <w:pPr>
        <w:jc w:val="center"/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t>10. člen</w:t>
      </w: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"(nadzor)"</w:instrText>
      </w: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fldChar w:fldCharType="separate"/>
      </w:r>
    </w:p>
    <w:p w14:paraId="0FD3E7DD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(nadzor)</w:t>
      </w:r>
    </w:p>
    <w:p w14:paraId="4F72CFCB">
      <w:pPr>
        <w:jc w:val="center"/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</w:p>
    <w:p w14:paraId="029A75AB">
      <w:pPr>
        <w:pStyle w:val="8"/>
        <w:numPr>
          <w:numId w:val="0"/>
        </w:numPr>
        <w:shd w:val="clear" w:color="auto" w:fill="FFFFFF"/>
        <w:ind w:leftChars="0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Uresničevanje določb tega pravilnika, v skladu s predpisi, ki določajo obratovalni čas gostinskih obratov, nadzoruje pristojni inšpekcijski organ in drugi pristojni organi.</w:t>
      </w:r>
    </w:p>
    <w:p w14:paraId="7AA0C934">
      <w:pPr>
        <w:rPr>
          <w:rFonts w:ascii="Verdana" w:hAnsi="Verdana" w:eastAsia="Times New Roman" w:cs="Times New Roman"/>
          <w:sz w:val="20"/>
          <w:szCs w:val="20"/>
          <w:shd w:val="clear" w:color="auto" w:fill="FFFFFF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begin"/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"VII.%C2%A0KON%C4%8CNE%C2%A0DOLO%C4%8CBE"</w:instrText>
      </w: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separate"/>
      </w:r>
    </w:p>
    <w:p w14:paraId="0553D6EB">
      <w:pPr>
        <w:jc w:val="center"/>
        <w:rPr>
          <w:rFonts w:ascii="Verdana" w:hAnsi="Verdana" w:eastAsia="Times New Roman" w:cs="Times New Roman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shd w:val="clear" w:color="auto" w:fill="FFFFFF"/>
          <w:lang w:val="sl-SI" w:eastAsia="sl-SI"/>
        </w:rPr>
        <w:t>VII. KONČNE DOLOČBE </w:t>
      </w:r>
    </w:p>
    <w:p w14:paraId="25C36A9B">
      <w:pPr>
        <w:rPr>
          <w:rFonts w:ascii="Verdana" w:hAnsi="Verdana" w:eastAsia="Times New Roman" w:cs="Times New Roman"/>
          <w:sz w:val="20"/>
          <w:szCs w:val="20"/>
          <w:lang w:val="sl-SI" w:eastAsia="sl-SI"/>
        </w:rPr>
      </w:pPr>
      <w:r>
        <w:rPr>
          <w:rFonts w:ascii="Verdana" w:hAnsi="Verdana" w:eastAsia="Times New Roman" w:cs="Times New Roman"/>
          <w:sz w:val="20"/>
          <w:szCs w:val="20"/>
          <w:lang w:val="sl-SI" w:eastAsia="sl-SI"/>
        </w:rPr>
        <w:fldChar w:fldCharType="end"/>
      </w:r>
    </w:p>
    <w:p w14:paraId="2E68CF72">
      <w:pPr>
        <w:jc w:val="center"/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  <w:t>11. člen</w:t>
      </w:r>
    </w:p>
    <w:p w14:paraId="24AE35E8">
      <w:pPr>
        <w:rPr>
          <w:rFonts w:ascii="Verdana" w:hAnsi="Verdana" w:eastAsia="Times New Roman" w:cs="Arial"/>
          <w:b/>
          <w:bCs/>
          <w:sz w:val="20"/>
          <w:szCs w:val="20"/>
          <w:lang w:val="sl-SI" w:eastAsia="sl-SI"/>
        </w:rPr>
      </w:pPr>
    </w:p>
    <w:p w14:paraId="4E29C99C">
      <w:pPr>
        <w:pStyle w:val="8"/>
        <w:numPr>
          <w:numId w:val="0"/>
        </w:numPr>
        <w:ind w:leftChars="0"/>
        <w:jc w:val="both"/>
        <w:rPr>
          <w:rFonts w:ascii="Verdana" w:hAnsi="Verdana" w:cs="Arial"/>
          <w:sz w:val="20"/>
          <w:szCs w:val="20"/>
          <w:lang w:val="sl-SI" w:eastAsia="sl-SI"/>
        </w:rPr>
      </w:pPr>
      <w:r>
        <w:rPr>
          <w:rFonts w:ascii="Verdana" w:hAnsi="Verdana" w:cs="Arial"/>
          <w:sz w:val="20"/>
          <w:szCs w:val="20"/>
          <w:lang w:val="sl-SI" w:eastAsia="sl-SI"/>
        </w:rPr>
        <w:t>Z dnem uveljavitve tega pravilnika preneha veljati Pravilnik o merilih za izdajo soglasja za podaljšan obratovalni čas gostinskih obratov in kmetij na katerih se opravlja gostinska dejavnost na območju Občine Radenci (Uradno glasilo slovenskih občin št. 26/2006, z dne 22. 12. 2006).</w:t>
      </w:r>
    </w:p>
    <w:p w14:paraId="16F2215D">
      <w:pPr>
        <w:rPr>
          <w:rFonts w:ascii="Verdana" w:hAnsi="Verdana" w:cs="Arial"/>
          <w:sz w:val="20"/>
          <w:szCs w:val="20"/>
          <w:lang w:val="sl-SI" w:eastAsia="sl-SI"/>
        </w:rPr>
      </w:pPr>
      <w:r>
        <w:rPr>
          <w:rFonts w:ascii="Verdana" w:hAnsi="Verdana" w:cs="Arial"/>
          <w:sz w:val="20"/>
          <w:szCs w:val="20"/>
          <w:lang w:val="sl-SI" w:eastAsia="sl-SI"/>
        </w:rPr>
        <w:fldChar w:fldCharType="begin"/>
      </w:r>
      <w:r>
        <w:rPr>
          <w:rFonts w:ascii="Verdana" w:hAnsi="Verdana" w:cs="Arial"/>
          <w:sz w:val="20"/>
          <w:szCs w:val="20"/>
          <w:lang w:val="sl-SI" w:eastAsia="sl-SI"/>
        </w:rPr>
        <w:instrText xml:space="preserve">HYPERLINK "https://www.uradni-list.si/glasilo-uradni-list-rs/vsebina/2020-01-1624/odlok-o-merilih-za-dolocitev-podaljsanega-obratovalnega-casa-gostinskih-obratov-in-kmetij-na-katerih-se-opravlja-gostinska-dejavnost-na-obmocju-obcine-vipava/" \l "15.%C2%A0%C4%8Dlen"</w:instrText>
      </w:r>
      <w:r>
        <w:rPr>
          <w:rFonts w:ascii="Verdana" w:hAnsi="Verdana" w:cs="Arial"/>
          <w:sz w:val="20"/>
          <w:szCs w:val="20"/>
          <w:lang w:val="sl-SI" w:eastAsia="sl-SI"/>
        </w:rPr>
        <w:fldChar w:fldCharType="separate"/>
      </w:r>
    </w:p>
    <w:p w14:paraId="61F6A7D4">
      <w:pPr>
        <w:ind w:left="3540" w:firstLine="708"/>
        <w:rPr>
          <w:rFonts w:ascii="Verdana" w:hAnsi="Verdana" w:cs="Arial"/>
          <w:b/>
          <w:bCs/>
          <w:sz w:val="20"/>
          <w:szCs w:val="20"/>
          <w:lang w:val="sl-SI" w:eastAsia="sl-SI"/>
        </w:rPr>
      </w:pPr>
      <w:r>
        <w:rPr>
          <w:rFonts w:ascii="Verdana" w:hAnsi="Verdana" w:cs="Arial"/>
          <w:b/>
          <w:bCs/>
          <w:sz w:val="20"/>
          <w:szCs w:val="20"/>
          <w:shd w:val="clear" w:color="auto" w:fill="FFFFFF"/>
          <w:lang w:val="sl-SI" w:eastAsia="sl-SI"/>
        </w:rPr>
        <w:t>12. člen </w:t>
      </w:r>
    </w:p>
    <w:p w14:paraId="4E914EF3">
      <w:pPr>
        <w:rPr>
          <w:rFonts w:ascii="Verdana" w:hAnsi="Verdana" w:cs="Times New Roman"/>
          <w:sz w:val="20"/>
          <w:szCs w:val="20"/>
          <w:lang w:val="sl-SI" w:eastAsia="sl-SI"/>
        </w:rPr>
      </w:pPr>
      <w:r>
        <w:rPr>
          <w:rFonts w:ascii="Verdana" w:hAnsi="Verdana" w:cs="Arial"/>
          <w:sz w:val="20"/>
          <w:szCs w:val="20"/>
          <w:lang w:val="sl-SI" w:eastAsia="sl-SI"/>
        </w:rPr>
        <w:fldChar w:fldCharType="end"/>
      </w:r>
    </w:p>
    <w:p w14:paraId="62E6B44E">
      <w:pPr>
        <w:shd w:val="clear" w:color="auto" w:fill="FFFFFF"/>
        <w:jc w:val="both"/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</w:pPr>
      <w:r>
        <w:rPr>
          <w:rFonts w:ascii="Verdana" w:hAnsi="Verdana" w:eastAsia="Times New Roman" w:cs="Arial"/>
          <w:color w:val="000000"/>
          <w:sz w:val="20"/>
          <w:szCs w:val="20"/>
          <w:lang w:val="sl-SI" w:eastAsia="sl-SI"/>
        </w:rPr>
        <w:t>Ta pravilnik začne veljati naslednji dan po objavi v Uradnem glasilu slovenskih občin.</w:t>
      </w:r>
      <w:bookmarkEnd w:id="1"/>
    </w:p>
    <w:p w14:paraId="479FFDE9">
      <w:pPr>
        <w:spacing w:after="160" w:line="278" w:lineRule="auto"/>
        <w:rPr>
          <w:rFonts w:ascii="Verdana" w:hAnsi="Verdana" w:cs="Arial"/>
          <w:kern w:val="2"/>
          <w:sz w:val="20"/>
          <w:szCs w:val="20"/>
          <w:lang w:val="sl-SI"/>
          <w14:ligatures w14:val="standardContextual"/>
        </w:rPr>
      </w:pPr>
    </w:p>
    <w:p w14:paraId="2F93A43F">
      <w:pPr>
        <w:spacing w:after="160" w:line="278" w:lineRule="auto"/>
        <w:rPr>
          <w:rFonts w:ascii="Verdana" w:hAnsi="Verdana" w:cs="Arial"/>
          <w:kern w:val="2"/>
          <w:sz w:val="20"/>
          <w:szCs w:val="20"/>
          <w:lang w:val="sl-SI"/>
          <w14:ligatures w14:val="standardContextual"/>
        </w:rPr>
      </w:pPr>
    </w:p>
    <w:p w14:paraId="4E10D50F">
      <w:pPr>
        <w:spacing w:after="160" w:line="278" w:lineRule="auto"/>
        <w:ind w:left="5664" w:firstLine="708"/>
        <w:rPr>
          <w:rFonts w:ascii="Verdana" w:hAnsi="Verdana" w:cs="Arial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 w:cs="Arial"/>
          <w:kern w:val="2"/>
          <w:sz w:val="20"/>
          <w:szCs w:val="20"/>
          <w:lang w:val="sl-SI"/>
          <w14:ligatures w14:val="standardContextual"/>
        </w:rPr>
        <w:t xml:space="preserve">    Občina Radenci</w:t>
      </w:r>
    </w:p>
    <w:p w14:paraId="76CA87EC">
      <w:pPr>
        <w:spacing w:after="160" w:line="278" w:lineRule="auto"/>
        <w:ind w:left="5664" w:firstLine="708"/>
        <w:rPr>
          <w:rFonts w:ascii="Verdana" w:hAnsi="Verdana" w:cs="Arial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 w:cs="Arial"/>
          <w:kern w:val="2"/>
          <w:sz w:val="20"/>
          <w:szCs w:val="20"/>
          <w:lang w:val="sl-SI"/>
          <w14:ligatures w14:val="standardContextual"/>
        </w:rPr>
        <w:t xml:space="preserve">          Župan</w:t>
      </w:r>
    </w:p>
    <w:p w14:paraId="52CD6304">
      <w:pPr>
        <w:spacing w:after="160" w:line="278" w:lineRule="auto"/>
        <w:ind w:left="5664" w:firstLine="708"/>
        <w:rPr>
          <w:rFonts w:ascii="Verdana" w:hAnsi="Verdana" w:cs="Arial"/>
          <w:color w:val="EE0000"/>
          <w:kern w:val="2"/>
          <w:sz w:val="20"/>
          <w:szCs w:val="20"/>
          <w:lang w:val="sl-SI"/>
          <w14:ligatures w14:val="standardContextual"/>
        </w:rPr>
      </w:pPr>
      <w:r>
        <w:rPr>
          <w:rFonts w:ascii="Verdana" w:hAnsi="Verdana" w:cs="Arial"/>
          <w:kern w:val="2"/>
          <w:sz w:val="20"/>
          <w:szCs w:val="20"/>
          <w:lang w:val="sl-SI"/>
          <w14:ligatures w14:val="standardContextual"/>
        </w:rPr>
        <w:t xml:space="preserve">    Roman Leljak</w:t>
      </w:r>
    </w:p>
    <w:p w14:paraId="01AD33A7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7ADBDCA2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6DFCCD09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172A85E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E36DF23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2A6935F1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F5D3EC6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232DEC8A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A52BD88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10997093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0DE1BEC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4E40EB1B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572AA2EC">
      <w:pP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bookmarkStart w:id="2" w:name="_Hlk207279397"/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br w:type="page"/>
      </w:r>
    </w:p>
    <w:p w14:paraId="2B884540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>OBČINA RADENCI</w:t>
      </w:r>
    </w:p>
    <w:p w14:paraId="25D564F2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>Radgonska c. 9</w:t>
      </w:r>
    </w:p>
    <w:p w14:paraId="068E5057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>9252 RADENCI</w:t>
      </w:r>
    </w:p>
    <w:p w14:paraId="1CACC478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2AF9DF2D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ACA7069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>OBRAZEC ZA PRIJAVO OBRATOVALNEGA ČASA IN PODALJŠANEGA OBRATOVALNEGA ČASA GOSTINSKEGA OBRATA ALI KMETIJE</w:t>
      </w:r>
    </w:p>
    <w:p w14:paraId="072099A2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42D2D67A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3472F36">
      <w:pPr>
        <w:numPr>
          <w:ilvl w:val="0"/>
          <w:numId w:val="2"/>
        </w:num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>OSNOVNI PODATKI O GOSTINSKEM OBRATU (KMETIJI), KI PRIJAVLJA OBRATOVALNI ČAS</w:t>
      </w:r>
    </w:p>
    <w:p w14:paraId="5CEACD88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6DBCCFA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 xml:space="preserve">Vrsta in naziv gostinskega obrata (kmetije):  </w:t>
      </w:r>
    </w:p>
    <w:p w14:paraId="295352E3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5BF98D75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7C9F8D8D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 xml:space="preserve">Naslov (poštna številka, naselje, ulica, hišna številka):  </w:t>
      </w:r>
    </w:p>
    <w:p w14:paraId="1006582E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1EBB3083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5E719D39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Naziv in sedež matične firme (ustanovitelja) gostinskega obrata:</w:t>
      </w:r>
    </w:p>
    <w:p w14:paraId="7717EA2C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 xml:space="preserve">   </w:t>
      </w:r>
    </w:p>
    <w:p w14:paraId="6C02B19D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B60B818">
      <w:pPr>
        <w:numPr>
          <w:ilvl w:val="0"/>
          <w:numId w:val="2"/>
        </w:numPr>
        <w:spacing w:line="204" w:lineRule="auto"/>
        <w:ind w:left="0" w:leftChars="0" w:firstLine="0" w:firstLineChars="0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>PRIJAVA RAZPOREDA OBRATOVALNEGA ČASA GOSTINSKEGA OBRATA (KMETIJE)</w:t>
      </w:r>
    </w:p>
    <w:p w14:paraId="18832B2A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7B1BB7CE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 xml:space="preserve">Prijava rednega obratovalnega časa:  </w:t>
      </w:r>
    </w:p>
    <w:p w14:paraId="5EA45D38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716759F6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24F32396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Skladno z določbami Pravilnika o merilih za določitev obratovalnega časa gostinskih obratov in kmetij na katerih se opravlja gostinska dejavnost (Ur.l.RS št 78/99,107/00, 30/06,93/07 in 16/21), prijavljam naslednji redni obratovalni čas gostinskega obrata oziroma kmetije:</w:t>
      </w:r>
    </w:p>
    <w:p w14:paraId="1EA8F6A7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42F9CE6C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530B313E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Ponedeljek             od_____________________  do______________________</w:t>
      </w:r>
    </w:p>
    <w:p w14:paraId="0426B432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6F6D09C9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Torek                     od_____________________  do____________________</w:t>
      </w:r>
    </w:p>
    <w:p w14:paraId="72356804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451D644C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Sreda                     od_____________________  do______________________</w:t>
      </w:r>
    </w:p>
    <w:p w14:paraId="2601B617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139D9041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 xml:space="preserve">Četrtek                  od_____________________  do______________________ </w:t>
      </w:r>
    </w:p>
    <w:p w14:paraId="3CCA96B2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1EB3BC85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Petek                     od_____________________  do______________________</w:t>
      </w:r>
    </w:p>
    <w:p w14:paraId="09E614CB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705408EA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Sobota                   od_____________________  do______________________</w:t>
      </w:r>
    </w:p>
    <w:p w14:paraId="6D9580F5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62E6E79A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Nedelja                 od_____________________   do____________________</w:t>
      </w:r>
    </w:p>
    <w:p w14:paraId="4F4FDCAE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620F1B25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0944CA13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 xml:space="preserve">II. Vloga za izdajo soglasja za obratovanje v podaljšanem obratovalnem času: </w:t>
      </w:r>
    </w:p>
    <w:p w14:paraId="2F08E8FC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3DEDA3A">
      <w:pPr>
        <w:spacing w:line="204" w:lineRule="auto"/>
        <w:jc w:val="both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Skladno  z  določbami  Pravilnika o določitvi podaljšanega obratovalnega časa gostinskih obratov in kmetij na katerih se opravlja gostinska dejavnost na območju občine Radenci, prosim za izdajo soglasja za obratovanje v naslednjem podaljšanem obratovalnem času:</w:t>
      </w:r>
    </w:p>
    <w:p w14:paraId="17668BE9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54121CE5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Ponedeljek            od_____________________    do______________________</w:t>
      </w:r>
    </w:p>
    <w:p w14:paraId="66B69C2E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55EB6052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Torek                    od_____________________    do______________________</w:t>
      </w:r>
    </w:p>
    <w:p w14:paraId="3BEB9F6D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41DB0F8B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Sreda                     od____________________    do______________________</w:t>
      </w:r>
    </w:p>
    <w:p w14:paraId="6BFA7A03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0BF0149A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Četrtek                  od_____________________   do______________________</w:t>
      </w:r>
    </w:p>
    <w:p w14:paraId="244D8816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145307E7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Petek                     od_____________________    do_____________________</w:t>
      </w:r>
    </w:p>
    <w:p w14:paraId="08C5101B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3B477E3F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Sobota                   od_____________________    do_____________________</w:t>
      </w:r>
    </w:p>
    <w:p w14:paraId="7D82432A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7D1DCFCE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  <w:t>Nedelja                  od_____________________     do_____________________</w:t>
      </w:r>
    </w:p>
    <w:p w14:paraId="23F0CCC7">
      <w:pPr>
        <w:spacing w:line="204" w:lineRule="auto"/>
        <w:rPr>
          <w:rFonts w:ascii="Verdana" w:hAnsi="Verdana" w:cs="Times New Roman"/>
          <w:bCs/>
          <w:color w:val="000000"/>
          <w:spacing w:val="-5"/>
          <w:w w:val="105"/>
          <w:sz w:val="20"/>
          <w:szCs w:val="20"/>
          <w:lang w:val="sl-SI"/>
        </w:rPr>
      </w:pPr>
    </w:p>
    <w:p w14:paraId="1B69EFA7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4A1BA5DF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 xml:space="preserve">Odgovorna oseba prijavitelja: Ime, priimek (tiskano): </w:t>
      </w:r>
    </w:p>
    <w:p w14:paraId="21B72B70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B0A2FD9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27BA5282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20DA483D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 xml:space="preserve">                                                                             Lastnoročni podpis in žig:</w:t>
      </w:r>
    </w:p>
    <w:p w14:paraId="24DCE609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442A93D4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 xml:space="preserve">Telefonska številka:  </w:t>
      </w:r>
    </w:p>
    <w:p w14:paraId="30761511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 xml:space="preserve">Elektronski naslov:  </w:t>
      </w:r>
    </w:p>
    <w:p w14:paraId="3D12F9FA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 xml:space="preserve">Datum:  </w:t>
      </w:r>
    </w:p>
    <w:p w14:paraId="1C0CCCA1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2130A0A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1F74FB66">
      <w:pPr>
        <w:numPr>
          <w:ilvl w:val="0"/>
          <w:numId w:val="2"/>
        </w:numPr>
        <w:spacing w:line="204" w:lineRule="auto"/>
        <w:ind w:left="0" w:leftChars="0" w:firstLine="0" w:firstLineChars="0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  <w:r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  <w:t>IZPOLNI ZA GOSTINSTVO PRISTOJNI ORGAN UPRAVE OBČINE:</w:t>
      </w:r>
    </w:p>
    <w:p w14:paraId="55AE93C3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22174964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9"/>
        <w:gridCol w:w="4519"/>
      </w:tblGrid>
      <w:tr w14:paraId="4425B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19" w:type="dxa"/>
          </w:tcPr>
          <w:p w14:paraId="41383E5A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  <w:r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  <w:t>Potrjujemo redni obratovalni čas:</w:t>
            </w:r>
          </w:p>
          <w:p w14:paraId="59EC5F5D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6B164BCE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0A055058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</w:tc>
        <w:tc>
          <w:tcPr>
            <w:tcW w:w="4519" w:type="dxa"/>
          </w:tcPr>
          <w:p w14:paraId="06244BA7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  <w:r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  <w:t xml:space="preserve">Soglašamo s podaljšanim obratovalnim časom za obdobje </w:t>
            </w:r>
          </w:p>
          <w:p w14:paraId="531D77C5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6E3EAC9A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  <w:r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  <w:t>- od_________________________</w:t>
            </w:r>
          </w:p>
          <w:p w14:paraId="776E54F8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  <w:r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  <w:t>- do_________________________</w:t>
            </w:r>
          </w:p>
          <w:p w14:paraId="08E7EAC2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</w:tc>
      </w:tr>
      <w:tr w14:paraId="0F035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9" w:type="dxa"/>
          </w:tcPr>
          <w:p w14:paraId="07A9301E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4ECDF714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3C8E11B5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  <w:r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  <w:t>Podpis pooblaščene osebe:</w:t>
            </w:r>
          </w:p>
          <w:p w14:paraId="04E85029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4A355949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  <w:r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  <w:t>Datum:</w:t>
            </w:r>
          </w:p>
          <w:p w14:paraId="76D3E010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</w:tc>
        <w:tc>
          <w:tcPr>
            <w:tcW w:w="4519" w:type="dxa"/>
          </w:tcPr>
          <w:p w14:paraId="068A10C3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25D1BF87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  <w:r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  <w:t>Preklicujemo soglasje za podaljšan obratovalni čas</w:t>
            </w:r>
          </w:p>
          <w:p w14:paraId="0992C153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086BE678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  <w:r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  <w:t>Datum:_____________________</w:t>
            </w:r>
          </w:p>
          <w:p w14:paraId="61DD16E9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0CA7FDBF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  <w:r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  <w:t>Št. Odločbe_________________</w:t>
            </w:r>
          </w:p>
          <w:p w14:paraId="4D096993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6963D1F4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  <w:p w14:paraId="3947B54E">
            <w:pPr>
              <w:spacing w:line="204" w:lineRule="auto"/>
              <w:rPr>
                <w:rFonts w:ascii="Verdana" w:hAnsi="Verdana" w:cs="Times New Roman"/>
                <w:bCs/>
                <w:color w:val="000000"/>
                <w:spacing w:val="-5"/>
                <w:w w:val="105"/>
                <w:sz w:val="20"/>
                <w:szCs w:val="20"/>
                <w:lang w:val="sl-SI"/>
              </w:rPr>
            </w:pPr>
          </w:p>
        </w:tc>
      </w:tr>
    </w:tbl>
    <w:p w14:paraId="019A3860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bookmarkEnd w:id="2"/>
    <w:p w14:paraId="651FF3B7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405B6944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9E7B1ED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270EC9F6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7EE99FB4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66527153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A9BFAB3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E7398F6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70A84B35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1AC3C2C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E701182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466B2CE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A3F25B6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61F35C4C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42F3B2B5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28AC271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3DCEC2A8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7F136FF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280EC0E1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79928756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016DF6E7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72A5A13B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1A0C48B2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p w14:paraId="74C996D6">
      <w:pPr>
        <w:spacing w:line="204" w:lineRule="auto"/>
        <w:rPr>
          <w:rFonts w:ascii="Verdana" w:hAnsi="Verdana" w:cs="Times New Roman"/>
          <w:b/>
          <w:color w:val="000000"/>
          <w:spacing w:val="-5"/>
          <w:w w:val="105"/>
          <w:sz w:val="20"/>
          <w:szCs w:val="20"/>
          <w:lang w:val="sl-SI"/>
        </w:rPr>
      </w:pPr>
    </w:p>
    <w:sectPr>
      <w:headerReference r:id="rId3" w:type="default"/>
      <w:pgSz w:w="11918" w:h="16854"/>
      <w:pgMar w:top="284" w:right="1286" w:bottom="1360" w:left="1584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7DE5BC">
    <w:pPr>
      <w:rPr>
        <w:rFonts w:ascii="Verdana" w:hAnsi="Verdana" w:eastAsia="Calibri"/>
      </w:rPr>
    </w:pPr>
    <w:r>
      <w:rPr>
        <w:rFonts w:ascii="Verdana" w:hAnsi="Verdana" w:eastAsia="Calibri"/>
        <w:sz w:val="18"/>
        <w:szCs w:val="18"/>
        <w:lang w:eastAsia="sl-SI"/>
      </w:rPr>
      <w:drawing>
        <wp:inline distT="0" distB="0" distL="0" distR="0">
          <wp:extent cx="395605" cy="534670"/>
          <wp:effectExtent l="0" t="0" r="0" b="0"/>
          <wp:docPr id="1572010822" name="Slika 15720108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010822" name="Slika 15720108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6016" cy="5349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7E34F1E">
    <w:pPr>
      <w:pStyle w:val="11"/>
      <w:rPr>
        <w:b/>
      </w:rPr>
    </w:pPr>
    <w:r>
      <w:rPr>
        <w:b/>
      </w:rPr>
      <w:t>OBČINA RADENCI</w:t>
    </w:r>
  </w:p>
  <w:p w14:paraId="18A199B7">
    <w:pPr>
      <w:pStyle w:val="11"/>
      <w:rPr>
        <w:b/>
      </w:rPr>
    </w:pPr>
    <w:r>
      <w:rPr>
        <w:b/>
      </w:rPr>
      <w:t>OBČINSKI SVET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E4657B"/>
    <w:multiLevelType w:val="singleLevel"/>
    <w:tmpl w:val="EEE4657B"/>
    <w:lvl w:ilvl="0" w:tentative="0">
      <w:start w:val="2"/>
      <w:numFmt w:val="decimal"/>
      <w:suff w:val="space"/>
      <w:lvlText w:val="(%1)"/>
      <w:lvlJc w:val="left"/>
    </w:lvl>
  </w:abstractNum>
  <w:abstractNum w:abstractNumId="1">
    <w:nsid w:val="F0A9D894"/>
    <w:multiLevelType w:val="singleLevel"/>
    <w:tmpl w:val="F0A9D894"/>
    <w:lvl w:ilvl="0" w:tentative="0">
      <w:start w:val="1"/>
      <w:numFmt w:val="upperRoman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C0E"/>
    <w:rsid w:val="00003AAF"/>
    <w:rsid w:val="000112F6"/>
    <w:rsid w:val="000126AE"/>
    <w:rsid w:val="00012A9E"/>
    <w:rsid w:val="00017A83"/>
    <w:rsid w:val="0002129A"/>
    <w:rsid w:val="00023811"/>
    <w:rsid w:val="000306CA"/>
    <w:rsid w:val="0003192C"/>
    <w:rsid w:val="0004143D"/>
    <w:rsid w:val="00045298"/>
    <w:rsid w:val="00046EF8"/>
    <w:rsid w:val="0004731A"/>
    <w:rsid w:val="00047A89"/>
    <w:rsid w:val="0005201C"/>
    <w:rsid w:val="00062141"/>
    <w:rsid w:val="0006332B"/>
    <w:rsid w:val="000843BD"/>
    <w:rsid w:val="00090A35"/>
    <w:rsid w:val="00091270"/>
    <w:rsid w:val="00095171"/>
    <w:rsid w:val="000B15FB"/>
    <w:rsid w:val="000C60C2"/>
    <w:rsid w:val="000D6F6E"/>
    <w:rsid w:val="000F280A"/>
    <w:rsid w:val="000F5C76"/>
    <w:rsid w:val="000F6ABC"/>
    <w:rsid w:val="000F7BBD"/>
    <w:rsid w:val="001000DA"/>
    <w:rsid w:val="00100DB3"/>
    <w:rsid w:val="001054A0"/>
    <w:rsid w:val="0011018A"/>
    <w:rsid w:val="00113B53"/>
    <w:rsid w:val="0011574F"/>
    <w:rsid w:val="00121DFC"/>
    <w:rsid w:val="00125333"/>
    <w:rsid w:val="0013099D"/>
    <w:rsid w:val="001369C4"/>
    <w:rsid w:val="00141384"/>
    <w:rsid w:val="00142720"/>
    <w:rsid w:val="00174D4B"/>
    <w:rsid w:val="00175768"/>
    <w:rsid w:val="00184FD8"/>
    <w:rsid w:val="0019144C"/>
    <w:rsid w:val="001940D8"/>
    <w:rsid w:val="001B1E0A"/>
    <w:rsid w:val="001C1B96"/>
    <w:rsid w:val="001D2DCF"/>
    <w:rsid w:val="001D51F3"/>
    <w:rsid w:val="001E705F"/>
    <w:rsid w:val="001F1D1E"/>
    <w:rsid w:val="001F29CC"/>
    <w:rsid w:val="001F3F1C"/>
    <w:rsid w:val="001F59BC"/>
    <w:rsid w:val="002035A8"/>
    <w:rsid w:val="00215567"/>
    <w:rsid w:val="002311E3"/>
    <w:rsid w:val="0023376B"/>
    <w:rsid w:val="00235177"/>
    <w:rsid w:val="00237B73"/>
    <w:rsid w:val="00241066"/>
    <w:rsid w:val="00247DAC"/>
    <w:rsid w:val="00281633"/>
    <w:rsid w:val="002A34DD"/>
    <w:rsid w:val="002A5D41"/>
    <w:rsid w:val="002A7A0F"/>
    <w:rsid w:val="002C2525"/>
    <w:rsid w:val="002D09C1"/>
    <w:rsid w:val="002F4D39"/>
    <w:rsid w:val="003009C7"/>
    <w:rsid w:val="00310C0F"/>
    <w:rsid w:val="00310E3F"/>
    <w:rsid w:val="00314D52"/>
    <w:rsid w:val="00322B45"/>
    <w:rsid w:val="003352B8"/>
    <w:rsid w:val="00336100"/>
    <w:rsid w:val="0034007E"/>
    <w:rsid w:val="00347FF4"/>
    <w:rsid w:val="003528B8"/>
    <w:rsid w:val="00360216"/>
    <w:rsid w:val="00365E32"/>
    <w:rsid w:val="00365E82"/>
    <w:rsid w:val="00383959"/>
    <w:rsid w:val="003A4025"/>
    <w:rsid w:val="003A6EEF"/>
    <w:rsid w:val="003B1D57"/>
    <w:rsid w:val="003C1E2B"/>
    <w:rsid w:val="003C31B0"/>
    <w:rsid w:val="003C788D"/>
    <w:rsid w:val="003C7F63"/>
    <w:rsid w:val="003E001F"/>
    <w:rsid w:val="003F286A"/>
    <w:rsid w:val="003F3C60"/>
    <w:rsid w:val="003F7D9B"/>
    <w:rsid w:val="0040387B"/>
    <w:rsid w:val="0040540E"/>
    <w:rsid w:val="00407E35"/>
    <w:rsid w:val="00415DC3"/>
    <w:rsid w:val="004167D5"/>
    <w:rsid w:val="00421C4E"/>
    <w:rsid w:val="00422E13"/>
    <w:rsid w:val="0042376E"/>
    <w:rsid w:val="004275DF"/>
    <w:rsid w:val="00436C20"/>
    <w:rsid w:val="00447511"/>
    <w:rsid w:val="00476FD1"/>
    <w:rsid w:val="004771F9"/>
    <w:rsid w:val="004806C2"/>
    <w:rsid w:val="00482BB9"/>
    <w:rsid w:val="004A006E"/>
    <w:rsid w:val="004A5A8F"/>
    <w:rsid w:val="004B0376"/>
    <w:rsid w:val="004B6506"/>
    <w:rsid w:val="004C5D4D"/>
    <w:rsid w:val="004D05C1"/>
    <w:rsid w:val="004D3E3B"/>
    <w:rsid w:val="004E6F33"/>
    <w:rsid w:val="0050283E"/>
    <w:rsid w:val="00505445"/>
    <w:rsid w:val="0051666D"/>
    <w:rsid w:val="005166E3"/>
    <w:rsid w:val="00521CB5"/>
    <w:rsid w:val="00522869"/>
    <w:rsid w:val="00533B64"/>
    <w:rsid w:val="00542791"/>
    <w:rsid w:val="00545F2A"/>
    <w:rsid w:val="00553C0E"/>
    <w:rsid w:val="00556D0A"/>
    <w:rsid w:val="005609D5"/>
    <w:rsid w:val="005727FD"/>
    <w:rsid w:val="005772C2"/>
    <w:rsid w:val="00582B59"/>
    <w:rsid w:val="005951C6"/>
    <w:rsid w:val="005953FF"/>
    <w:rsid w:val="005956DF"/>
    <w:rsid w:val="005A28F3"/>
    <w:rsid w:val="005A66A7"/>
    <w:rsid w:val="005A7695"/>
    <w:rsid w:val="005C280E"/>
    <w:rsid w:val="005C6AE0"/>
    <w:rsid w:val="005D2EB1"/>
    <w:rsid w:val="005E1035"/>
    <w:rsid w:val="005E7A77"/>
    <w:rsid w:val="005F0237"/>
    <w:rsid w:val="00602794"/>
    <w:rsid w:val="00617E59"/>
    <w:rsid w:val="00624C3F"/>
    <w:rsid w:val="00640431"/>
    <w:rsid w:val="006449CF"/>
    <w:rsid w:val="00645A85"/>
    <w:rsid w:val="006463F2"/>
    <w:rsid w:val="00662209"/>
    <w:rsid w:val="00671A3F"/>
    <w:rsid w:val="00674BF0"/>
    <w:rsid w:val="00681F6E"/>
    <w:rsid w:val="00685611"/>
    <w:rsid w:val="00695E06"/>
    <w:rsid w:val="00696DAA"/>
    <w:rsid w:val="00697A02"/>
    <w:rsid w:val="006A5E50"/>
    <w:rsid w:val="006B3C48"/>
    <w:rsid w:val="006B41DA"/>
    <w:rsid w:val="006B707A"/>
    <w:rsid w:val="006D3A01"/>
    <w:rsid w:val="006D3F42"/>
    <w:rsid w:val="006E4C8C"/>
    <w:rsid w:val="006F64CA"/>
    <w:rsid w:val="00707489"/>
    <w:rsid w:val="0071274D"/>
    <w:rsid w:val="00715BF6"/>
    <w:rsid w:val="007219C4"/>
    <w:rsid w:val="00730AAF"/>
    <w:rsid w:val="00733FD1"/>
    <w:rsid w:val="00742053"/>
    <w:rsid w:val="00745DD2"/>
    <w:rsid w:val="00752CAA"/>
    <w:rsid w:val="00754301"/>
    <w:rsid w:val="0075716D"/>
    <w:rsid w:val="0076300F"/>
    <w:rsid w:val="00764CE3"/>
    <w:rsid w:val="00766A79"/>
    <w:rsid w:val="00771FDC"/>
    <w:rsid w:val="00776B6D"/>
    <w:rsid w:val="007778D8"/>
    <w:rsid w:val="00785820"/>
    <w:rsid w:val="00786A2B"/>
    <w:rsid w:val="00790F8C"/>
    <w:rsid w:val="00792765"/>
    <w:rsid w:val="00792B3E"/>
    <w:rsid w:val="007934DA"/>
    <w:rsid w:val="00795737"/>
    <w:rsid w:val="00795BCA"/>
    <w:rsid w:val="00797FA0"/>
    <w:rsid w:val="007B04F2"/>
    <w:rsid w:val="007B37D1"/>
    <w:rsid w:val="007C25B5"/>
    <w:rsid w:val="007D4C8B"/>
    <w:rsid w:val="007E47F1"/>
    <w:rsid w:val="007F0C7A"/>
    <w:rsid w:val="007F1EF5"/>
    <w:rsid w:val="007F49FF"/>
    <w:rsid w:val="007F6C93"/>
    <w:rsid w:val="008010AF"/>
    <w:rsid w:val="00801237"/>
    <w:rsid w:val="00801868"/>
    <w:rsid w:val="00803C71"/>
    <w:rsid w:val="00804865"/>
    <w:rsid w:val="0081503E"/>
    <w:rsid w:val="0081523A"/>
    <w:rsid w:val="00820065"/>
    <w:rsid w:val="00833F15"/>
    <w:rsid w:val="008347E3"/>
    <w:rsid w:val="0083599F"/>
    <w:rsid w:val="00854D3B"/>
    <w:rsid w:val="00866D1A"/>
    <w:rsid w:val="00885CD4"/>
    <w:rsid w:val="00887CA7"/>
    <w:rsid w:val="008916BD"/>
    <w:rsid w:val="00892F03"/>
    <w:rsid w:val="00894DAC"/>
    <w:rsid w:val="00897790"/>
    <w:rsid w:val="008A0862"/>
    <w:rsid w:val="008A2939"/>
    <w:rsid w:val="008B7E0D"/>
    <w:rsid w:val="008C2246"/>
    <w:rsid w:val="008C3524"/>
    <w:rsid w:val="008D28D0"/>
    <w:rsid w:val="008D421E"/>
    <w:rsid w:val="008E2FA9"/>
    <w:rsid w:val="008F08E7"/>
    <w:rsid w:val="00921F4C"/>
    <w:rsid w:val="00927471"/>
    <w:rsid w:val="0094038B"/>
    <w:rsid w:val="009421B4"/>
    <w:rsid w:val="00960EA0"/>
    <w:rsid w:val="00961401"/>
    <w:rsid w:val="00961D88"/>
    <w:rsid w:val="00975E67"/>
    <w:rsid w:val="00982062"/>
    <w:rsid w:val="00983377"/>
    <w:rsid w:val="00983B32"/>
    <w:rsid w:val="009B2A67"/>
    <w:rsid w:val="009B3AE7"/>
    <w:rsid w:val="009C75FD"/>
    <w:rsid w:val="009D0935"/>
    <w:rsid w:val="009D0A13"/>
    <w:rsid w:val="009D4214"/>
    <w:rsid w:val="009D74F3"/>
    <w:rsid w:val="009E7CAA"/>
    <w:rsid w:val="009F0D13"/>
    <w:rsid w:val="00A21FCE"/>
    <w:rsid w:val="00A267BD"/>
    <w:rsid w:val="00A33D8D"/>
    <w:rsid w:val="00A37AE3"/>
    <w:rsid w:val="00A4459F"/>
    <w:rsid w:val="00A51106"/>
    <w:rsid w:val="00A54967"/>
    <w:rsid w:val="00A65F1C"/>
    <w:rsid w:val="00A662FB"/>
    <w:rsid w:val="00A76DE1"/>
    <w:rsid w:val="00A83431"/>
    <w:rsid w:val="00A94E34"/>
    <w:rsid w:val="00A96DD3"/>
    <w:rsid w:val="00AB0009"/>
    <w:rsid w:val="00AB533E"/>
    <w:rsid w:val="00AB5D63"/>
    <w:rsid w:val="00AB6BA9"/>
    <w:rsid w:val="00AC66A9"/>
    <w:rsid w:val="00AD3122"/>
    <w:rsid w:val="00AD44E1"/>
    <w:rsid w:val="00AD4EDF"/>
    <w:rsid w:val="00AE381E"/>
    <w:rsid w:val="00AE5675"/>
    <w:rsid w:val="00AF2E2A"/>
    <w:rsid w:val="00B01BC4"/>
    <w:rsid w:val="00B12F3D"/>
    <w:rsid w:val="00B21860"/>
    <w:rsid w:val="00B22B5D"/>
    <w:rsid w:val="00B241B3"/>
    <w:rsid w:val="00B24383"/>
    <w:rsid w:val="00B348E9"/>
    <w:rsid w:val="00B40272"/>
    <w:rsid w:val="00B41669"/>
    <w:rsid w:val="00B4778F"/>
    <w:rsid w:val="00B5309C"/>
    <w:rsid w:val="00B557D1"/>
    <w:rsid w:val="00B806E7"/>
    <w:rsid w:val="00B821B4"/>
    <w:rsid w:val="00B84D99"/>
    <w:rsid w:val="00B87425"/>
    <w:rsid w:val="00B87A87"/>
    <w:rsid w:val="00BA13E7"/>
    <w:rsid w:val="00BA5744"/>
    <w:rsid w:val="00BC2470"/>
    <w:rsid w:val="00BC4B0F"/>
    <w:rsid w:val="00BD13A3"/>
    <w:rsid w:val="00BD5006"/>
    <w:rsid w:val="00BF1286"/>
    <w:rsid w:val="00BF53FA"/>
    <w:rsid w:val="00C00A9A"/>
    <w:rsid w:val="00C057E6"/>
    <w:rsid w:val="00C12584"/>
    <w:rsid w:val="00C1491F"/>
    <w:rsid w:val="00C14E4D"/>
    <w:rsid w:val="00C15C61"/>
    <w:rsid w:val="00C27F66"/>
    <w:rsid w:val="00C34956"/>
    <w:rsid w:val="00C44A01"/>
    <w:rsid w:val="00C567BB"/>
    <w:rsid w:val="00C57888"/>
    <w:rsid w:val="00C6028C"/>
    <w:rsid w:val="00C61BA3"/>
    <w:rsid w:val="00C75863"/>
    <w:rsid w:val="00C80212"/>
    <w:rsid w:val="00C91C0D"/>
    <w:rsid w:val="00C9295D"/>
    <w:rsid w:val="00C9297C"/>
    <w:rsid w:val="00CA4721"/>
    <w:rsid w:val="00CB311D"/>
    <w:rsid w:val="00CC0C53"/>
    <w:rsid w:val="00CC1671"/>
    <w:rsid w:val="00CC690E"/>
    <w:rsid w:val="00CD58B6"/>
    <w:rsid w:val="00CE192B"/>
    <w:rsid w:val="00CE1D8A"/>
    <w:rsid w:val="00CE50E0"/>
    <w:rsid w:val="00CF31D4"/>
    <w:rsid w:val="00CF33E3"/>
    <w:rsid w:val="00D114F7"/>
    <w:rsid w:val="00D150EE"/>
    <w:rsid w:val="00D251D0"/>
    <w:rsid w:val="00D31BF5"/>
    <w:rsid w:val="00D36110"/>
    <w:rsid w:val="00D422F8"/>
    <w:rsid w:val="00D4391B"/>
    <w:rsid w:val="00D45F1F"/>
    <w:rsid w:val="00D50EBA"/>
    <w:rsid w:val="00D5282F"/>
    <w:rsid w:val="00D53327"/>
    <w:rsid w:val="00D627BE"/>
    <w:rsid w:val="00D72544"/>
    <w:rsid w:val="00D75F22"/>
    <w:rsid w:val="00D76606"/>
    <w:rsid w:val="00D85AF1"/>
    <w:rsid w:val="00D953E5"/>
    <w:rsid w:val="00DA20FE"/>
    <w:rsid w:val="00DA6895"/>
    <w:rsid w:val="00DA713B"/>
    <w:rsid w:val="00DC510E"/>
    <w:rsid w:val="00DE1479"/>
    <w:rsid w:val="00DE25B2"/>
    <w:rsid w:val="00DE367C"/>
    <w:rsid w:val="00DF1D04"/>
    <w:rsid w:val="00DF52DE"/>
    <w:rsid w:val="00E00740"/>
    <w:rsid w:val="00E1018F"/>
    <w:rsid w:val="00E133F6"/>
    <w:rsid w:val="00E269C5"/>
    <w:rsid w:val="00E301ED"/>
    <w:rsid w:val="00E328F7"/>
    <w:rsid w:val="00E40DD4"/>
    <w:rsid w:val="00E41CDE"/>
    <w:rsid w:val="00E427F1"/>
    <w:rsid w:val="00E45FA9"/>
    <w:rsid w:val="00E46631"/>
    <w:rsid w:val="00E63F07"/>
    <w:rsid w:val="00E672A9"/>
    <w:rsid w:val="00E70E38"/>
    <w:rsid w:val="00E748A8"/>
    <w:rsid w:val="00E9033B"/>
    <w:rsid w:val="00E911F5"/>
    <w:rsid w:val="00E937F5"/>
    <w:rsid w:val="00E93BAF"/>
    <w:rsid w:val="00E95345"/>
    <w:rsid w:val="00E95E81"/>
    <w:rsid w:val="00EB1862"/>
    <w:rsid w:val="00ED0E28"/>
    <w:rsid w:val="00ED2B92"/>
    <w:rsid w:val="00ED353F"/>
    <w:rsid w:val="00ED3647"/>
    <w:rsid w:val="00ED7F52"/>
    <w:rsid w:val="00F01EEA"/>
    <w:rsid w:val="00F12538"/>
    <w:rsid w:val="00F21292"/>
    <w:rsid w:val="00F23F23"/>
    <w:rsid w:val="00F336CC"/>
    <w:rsid w:val="00F34484"/>
    <w:rsid w:val="00F35F7B"/>
    <w:rsid w:val="00F411DF"/>
    <w:rsid w:val="00F50FA3"/>
    <w:rsid w:val="00F545CD"/>
    <w:rsid w:val="00F567A2"/>
    <w:rsid w:val="00F57EE1"/>
    <w:rsid w:val="00F6523E"/>
    <w:rsid w:val="00F72087"/>
    <w:rsid w:val="00F765D6"/>
    <w:rsid w:val="00F860A7"/>
    <w:rsid w:val="00F87DB4"/>
    <w:rsid w:val="00F974E6"/>
    <w:rsid w:val="00FA312E"/>
    <w:rsid w:val="00FB5615"/>
    <w:rsid w:val="00FB593F"/>
    <w:rsid w:val="00FC7006"/>
    <w:rsid w:val="00FD5E90"/>
    <w:rsid w:val="00FE13A1"/>
    <w:rsid w:val="00FE6B13"/>
    <w:rsid w:val="00FE75B6"/>
    <w:rsid w:val="3B73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13"/>
    <w:unhideWhenUsed/>
    <w:uiPriority w:val="99"/>
    <w:pPr>
      <w:tabs>
        <w:tab w:val="center" w:pos="4536"/>
        <w:tab w:val="right" w:pos="9072"/>
      </w:tabs>
    </w:pPr>
  </w:style>
  <w:style w:type="character" w:styleId="6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7">
    <w:name w:val="Table Grid"/>
    <w:basedOn w:val="3"/>
    <w:uiPriority w:val="39"/>
    <w:rPr>
      <w:lang w:val="sl-S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len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sl-SI" w:eastAsia="sl-SI"/>
    </w:rPr>
  </w:style>
  <w:style w:type="paragraph" w:customStyle="1" w:styleId="10">
    <w:name w:val="odstavek"/>
    <w:basedOn w:val="1"/>
    <w:uiPriority w:val="0"/>
    <w:pPr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val="sl-SI" w:eastAsia="sl-SI"/>
    </w:rPr>
  </w:style>
  <w:style w:type="paragraph" w:styleId="11">
    <w:name w:val="No Spacing"/>
    <w:link w:val="12"/>
    <w:qFormat/>
    <w:uiPriority w:val="1"/>
    <w:rPr>
      <w:rFonts w:ascii="Calibri" w:hAnsi="Calibri" w:eastAsia="Calibri" w:cs="Calibri"/>
      <w:sz w:val="22"/>
      <w:szCs w:val="22"/>
      <w:lang w:val="sl-SI" w:eastAsia="sl-SI" w:bidi="ar-SA"/>
    </w:rPr>
  </w:style>
  <w:style w:type="character" w:customStyle="1" w:styleId="12">
    <w:name w:val="Brez razmikov Znak"/>
    <w:link w:val="11"/>
    <w:locked/>
    <w:uiPriority w:val="1"/>
    <w:rPr>
      <w:rFonts w:ascii="Calibri" w:hAnsi="Calibri" w:eastAsia="Calibri" w:cs="Calibri"/>
      <w:lang w:val="sl-SI" w:eastAsia="sl-SI"/>
    </w:rPr>
  </w:style>
  <w:style w:type="character" w:customStyle="1" w:styleId="13">
    <w:name w:val="Glava Znak"/>
    <w:basedOn w:val="2"/>
    <w:link w:val="5"/>
    <w:uiPriority w:val="99"/>
  </w:style>
  <w:style w:type="character" w:customStyle="1" w:styleId="14">
    <w:name w:val="Noga Znak"/>
    <w:basedOn w:val="2"/>
    <w:link w:val="4"/>
    <w:uiPriority w:val="99"/>
  </w:style>
  <w:style w:type="character" w:customStyle="1" w:styleId="15">
    <w:name w:val="Unresolved Mention"/>
    <w:basedOn w:val="2"/>
    <w:semiHidden/>
    <w:unhideWhenUsed/>
    <w:uiPriority w:val="99"/>
    <w:rPr>
      <w:color w:val="605E5C"/>
      <w:shd w:val="clear" w:color="auto" w:fill="E1DFDD"/>
    </w:rPr>
  </w:style>
  <w:style w:type="table" w:customStyle="1" w:styleId="16">
    <w:name w:val="Grid Table Light"/>
    <w:basedOn w:val="3"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6FE0636-223F-4597-AB45-4C14EE4F1D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2734</Words>
  <Characters>15590</Characters>
  <Lines>129</Lines>
  <Paragraphs>36</Paragraphs>
  <TotalTime>87</TotalTime>
  <ScaleCrop>false</ScaleCrop>
  <LinksUpToDate>false</LinksUpToDate>
  <CharactersWithSpaces>18288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2025-08-28T13:03:00Z</dcterms:created>
  <dc:creator>Jožica Lazar</dc:creator>
  <cp:lastModifiedBy>melita.ratnik</cp:lastModifiedBy>
  <cp:lastPrinted>2025-08-29T10:16:25Z</cp:lastPrinted>
  <dcterms:modified xsi:type="dcterms:W3CDTF">2025-08-29T10:41:51Z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0D049C6EFF7B43E5808B044A6C0A1A56_12</vt:lpwstr>
  </property>
</Properties>
</file>